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" w:line="240" w:lineRule="auto"/>
        <w:ind w:left="114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</w:rPr>
        <w:drawing>
          <wp:inline distB="114300" distT="114300" distL="114300" distR="114300">
            <wp:extent cx="1843088" cy="1214762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3088" cy="12147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" w:line="240" w:lineRule="auto"/>
        <w:ind w:left="114" w:firstLine="0"/>
        <w:jc w:val="center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Department of INFORMATION SCIENCE AND ENGINEERING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155.0" w:type="dxa"/>
        <w:jc w:val="left"/>
        <w:tblInd w:w="23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35"/>
        <w:gridCol w:w="4005"/>
        <w:gridCol w:w="5415"/>
        <w:tblGridChange w:id="0">
          <w:tblGrid>
            <w:gridCol w:w="735"/>
            <w:gridCol w:w="4005"/>
            <w:gridCol w:w="5415"/>
          </w:tblGrid>
        </w:tblGridChange>
      </w:tblGrid>
      <w:tr>
        <w:trPr>
          <w:cantSplit w:val="0"/>
          <w:trHeight w:val="30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4">
            <w:pPr>
              <w:widowControl w:val="0"/>
              <w:spacing w:line="281" w:lineRule="auto"/>
              <w:ind w:left="1804" w:firstLine="0"/>
              <w:rPr>
                <w:rFonts w:ascii="Cambria" w:cs="Cambria" w:eastAsia="Cambria" w:hAnsi="Cambria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4"/>
                <w:szCs w:val="24"/>
                <w:rtl w:val="0"/>
              </w:rPr>
              <w:t xml:space="preserve">Analysis &amp; Design of Algorithms Lab</w:t>
            </w:r>
          </w:p>
        </w:tc>
      </w:tr>
      <w:tr>
        <w:trPr>
          <w:cantSplit w:val="0"/>
          <w:trHeight w:val="253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7">
            <w:pPr>
              <w:widowControl w:val="0"/>
              <w:spacing w:before="1" w:line="232" w:lineRule="auto"/>
              <w:ind w:left="114" w:firstLine="0"/>
              <w:rPr>
                <w:rFonts w:ascii="Cambria" w:cs="Cambria" w:eastAsia="Cambria" w:hAnsi="Cambria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sz w:val="20"/>
                <w:szCs w:val="20"/>
                <w:rtl w:val="0"/>
              </w:rPr>
              <w:t xml:space="preserve">Course Code</w:t>
            </w:r>
          </w:p>
        </w:tc>
        <w:tc>
          <w:tcPr/>
          <w:p w:rsidR="00000000" w:rsidDel="00000000" w:rsidP="00000000" w:rsidRDefault="00000000" w:rsidRPr="00000000" w14:paraId="00000009">
            <w:pPr>
              <w:widowControl w:val="0"/>
              <w:spacing w:before="1" w:line="232" w:lineRule="auto"/>
              <w:ind w:left="1506" w:right="1498" w:firstLine="0"/>
              <w:jc w:val="center"/>
              <w:rPr>
                <w:rFonts w:ascii="Cambria" w:cs="Cambria" w:eastAsia="Cambria" w:hAnsi="Cambria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sz w:val="20"/>
                <w:szCs w:val="20"/>
                <w:rtl w:val="0"/>
              </w:rPr>
              <w:t xml:space="preserve">BCSL404</w:t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55" w:lineRule="auto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before="2" w:line="240" w:lineRule="auto"/>
        <w:ind w:left="114" w:firstLine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ind w:left="114" w:firstLine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before="2" w:line="240" w:lineRule="auto"/>
        <w:ind w:left="114" w:firstLine="0"/>
        <w:jc w:val="both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Assessment Details (both CIE and SEE)</w:t>
      </w:r>
    </w:p>
    <w:p w:rsidR="00000000" w:rsidDel="00000000" w:rsidP="00000000" w:rsidRDefault="00000000" w:rsidRPr="00000000" w14:paraId="0000000E">
      <w:pPr>
        <w:widowControl w:val="0"/>
        <w:spacing w:before="1"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before="1" w:line="240" w:lineRule="auto"/>
        <w:ind w:left="114" w:firstLine="0"/>
        <w:rPr>
          <w:rFonts w:ascii="Cambria" w:cs="Cambria" w:eastAsia="Cambria" w:hAnsi="Cambria"/>
          <w:b w:val="1"/>
        </w:rPr>
      </w:pP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Continuous Internal Evaluation (CIE):</w:t>
      </w:r>
    </w:p>
    <w:p w:rsidR="00000000" w:rsidDel="00000000" w:rsidP="00000000" w:rsidRDefault="00000000" w:rsidRPr="00000000" w14:paraId="00000010">
      <w:pPr>
        <w:widowControl w:val="0"/>
        <w:spacing w:before="39" w:line="240" w:lineRule="auto"/>
        <w:ind w:left="114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CIE marks for the practical course are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50 Marks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1">
      <w:pPr>
        <w:widowControl w:val="0"/>
        <w:spacing w:before="37" w:line="240" w:lineRule="auto"/>
        <w:ind w:left="114" w:firstLine="0"/>
        <w:rPr>
          <w:rFonts w:ascii="Cambria" w:cs="Cambria" w:eastAsia="Cambria" w:hAnsi="Cambria"/>
        </w:rPr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split-up of CIE marks for record/ journal and test are in the ratio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60:40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.</w:t>
      </w:r>
    </w:p>
    <w:p w:rsidR="00000000" w:rsidDel="00000000" w:rsidP="00000000" w:rsidRDefault="00000000" w:rsidRPr="00000000" w14:paraId="00000012">
      <w:pPr>
        <w:widowControl w:val="0"/>
        <w:numPr>
          <w:ilvl w:val="0"/>
          <w:numId w:val="1"/>
        </w:numPr>
        <w:tabs>
          <w:tab w:val="left" w:leader="none" w:pos="633"/>
          <w:tab w:val="left" w:leader="none" w:pos="634"/>
        </w:tabs>
        <w:spacing w:before="40" w:line="271" w:lineRule="auto"/>
        <w:ind w:left="633" w:right="230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Each experiment is to be evaluated for conduction with an observation sheet and record write-up. Rubrics for the evaluation of the journal/write-up for hardware/software experiments are designed by the faculty who is handling the laboratory session and are made known to students at the beginning of the practical session.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numPr>
          <w:ilvl w:val="0"/>
          <w:numId w:val="1"/>
        </w:numPr>
        <w:tabs>
          <w:tab w:val="left" w:leader="none" w:pos="633"/>
          <w:tab w:val="left" w:leader="none" w:pos="634"/>
        </w:tabs>
        <w:spacing w:line="259" w:lineRule="auto"/>
        <w:ind w:left="633" w:right="285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Record should contain all the specified experiments in the syllabus and each experiment write-up will be evaluated for 10 marks.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numPr>
          <w:ilvl w:val="0"/>
          <w:numId w:val="1"/>
        </w:numPr>
        <w:tabs>
          <w:tab w:val="left" w:leader="none" w:pos="633"/>
          <w:tab w:val="left" w:leader="none" w:pos="634"/>
        </w:tabs>
        <w:spacing w:before="19" w:line="240" w:lineRule="auto"/>
        <w:ind w:left="633" w:hanging="36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Total marks scored by the students are scaled down to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30 marks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(60% of maximum marks).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numPr>
          <w:ilvl w:val="0"/>
          <w:numId w:val="1"/>
        </w:numPr>
        <w:tabs>
          <w:tab w:val="left" w:leader="none" w:pos="633"/>
          <w:tab w:val="left" w:leader="none" w:pos="634"/>
        </w:tabs>
        <w:spacing w:before="22" w:line="240" w:lineRule="auto"/>
        <w:ind w:left="633" w:hanging="36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Weightage to be given for neatness and submission of record/write-up on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numPr>
          <w:ilvl w:val="0"/>
          <w:numId w:val="1"/>
        </w:numPr>
        <w:tabs>
          <w:tab w:val="left" w:leader="none" w:pos="633"/>
          <w:tab w:val="left" w:leader="none" w:pos="634"/>
        </w:tabs>
        <w:spacing w:before="23" w:line="259" w:lineRule="auto"/>
        <w:ind w:left="633" w:right="306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Department shall conduct a test of 100 marks after the completion of all the experiments listed in the syllabus.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1"/>
        </w:numPr>
        <w:tabs>
          <w:tab w:val="left" w:leader="none" w:pos="633"/>
          <w:tab w:val="left" w:leader="none" w:pos="634"/>
        </w:tabs>
        <w:spacing w:before="17" w:line="259" w:lineRule="auto"/>
        <w:ind w:left="633" w:right="141" w:hanging="360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In a test, test write-up, conduction of experiment, acceptable result, and procedural knowledge will carry a weightage of 60% and the rest 40% for viva-voce.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1"/>
        </w:numPr>
        <w:tabs>
          <w:tab w:val="left" w:leader="none" w:pos="633"/>
          <w:tab w:val="left" w:leader="none" w:pos="634"/>
        </w:tabs>
        <w:spacing w:before="20" w:line="240" w:lineRule="auto"/>
        <w:ind w:left="633" w:hanging="36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suitable rubrics can be designed to evaluate each student’s performance and learning 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1"/>
        </w:numPr>
        <w:tabs>
          <w:tab w:val="left" w:leader="none" w:pos="633"/>
          <w:tab w:val="left" w:leader="none" w:pos="634"/>
        </w:tabs>
        <w:spacing w:before="21" w:line="240" w:lineRule="auto"/>
        <w:ind w:left="633" w:hanging="361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marks scored shall be scaled down to </w:t>
      </w:r>
      <w:r w:rsidDel="00000000" w:rsidR="00000000" w:rsidRPr="00000000">
        <w:rPr>
          <w:rFonts w:ascii="Cambria" w:cs="Cambria" w:eastAsia="Cambria" w:hAnsi="Cambria"/>
          <w:b w:val="1"/>
          <w:rtl w:val="0"/>
        </w:rPr>
        <w:t xml:space="preserve">20 marks </w:t>
      </w:r>
      <w:r w:rsidDel="00000000" w:rsidR="00000000" w:rsidRPr="00000000">
        <w:rPr>
          <w:rFonts w:ascii="Cambria" w:cs="Cambria" w:eastAsia="Cambria" w:hAnsi="Cambria"/>
          <w:rtl w:val="0"/>
        </w:rPr>
        <w:t xml:space="preserve">(40% of the maximum marks).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25" w:line="276" w:lineRule="auto"/>
        <w:ind w:left="148" w:hanging="34"/>
        <w:rPr/>
      </w:pPr>
      <w:r w:rsidDel="00000000" w:rsidR="00000000" w:rsidRPr="00000000">
        <w:rPr>
          <w:rFonts w:ascii="Cambria" w:cs="Cambria" w:eastAsia="Cambria" w:hAnsi="Cambria"/>
          <w:rtl w:val="0"/>
        </w:rPr>
        <w:t xml:space="preserve">The Sum of scaled-down marks scored in the report write-up/journal and marks of a test is the total CIE marks scored by the student.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633" w:hanging="360"/>
      </w:pPr>
      <w:rPr>
        <w:rFonts w:ascii="Calibri" w:cs="Calibri" w:eastAsia="Calibri" w:hAnsi="Calibri"/>
        <w:sz w:val="24"/>
        <w:szCs w:val="24"/>
      </w:rPr>
    </w:lvl>
    <w:lvl w:ilvl="1">
      <w:start w:val="0"/>
      <w:numFmt w:val="bullet"/>
      <w:lvlText w:val="•"/>
      <w:lvlJc w:val="left"/>
      <w:pPr>
        <w:ind w:left="1581" w:hanging="360"/>
      </w:pPr>
      <w:rPr/>
    </w:lvl>
    <w:lvl w:ilvl="2">
      <w:start w:val="0"/>
      <w:numFmt w:val="bullet"/>
      <w:lvlText w:val="•"/>
      <w:lvlJc w:val="left"/>
      <w:pPr>
        <w:ind w:left="2522" w:hanging="360"/>
      </w:pPr>
      <w:rPr/>
    </w:lvl>
    <w:lvl w:ilvl="3">
      <w:start w:val="0"/>
      <w:numFmt w:val="bullet"/>
      <w:lvlText w:val="•"/>
      <w:lvlJc w:val="left"/>
      <w:pPr>
        <w:ind w:left="3463" w:hanging="360"/>
      </w:pPr>
      <w:rPr/>
    </w:lvl>
    <w:lvl w:ilvl="4">
      <w:start w:val="0"/>
      <w:numFmt w:val="bullet"/>
      <w:lvlText w:val="•"/>
      <w:lvlJc w:val="left"/>
      <w:pPr>
        <w:ind w:left="4405" w:hanging="360"/>
      </w:pPr>
      <w:rPr/>
    </w:lvl>
    <w:lvl w:ilvl="5">
      <w:start w:val="0"/>
      <w:numFmt w:val="bullet"/>
      <w:lvlText w:val="•"/>
      <w:lvlJc w:val="left"/>
      <w:pPr>
        <w:ind w:left="5346" w:hanging="360"/>
      </w:pPr>
      <w:rPr/>
    </w:lvl>
    <w:lvl w:ilvl="6">
      <w:start w:val="0"/>
      <w:numFmt w:val="bullet"/>
      <w:lvlText w:val="•"/>
      <w:lvlJc w:val="left"/>
      <w:pPr>
        <w:ind w:left="6287" w:hanging="360"/>
      </w:pPr>
      <w:rPr/>
    </w:lvl>
    <w:lvl w:ilvl="7">
      <w:start w:val="0"/>
      <w:numFmt w:val="bullet"/>
      <w:lvlText w:val="•"/>
      <w:lvlJc w:val="left"/>
      <w:pPr>
        <w:ind w:left="7229" w:hanging="360"/>
      </w:pPr>
      <w:rPr/>
    </w:lvl>
    <w:lvl w:ilvl="8">
      <w:start w:val="0"/>
      <w:numFmt w:val="bullet"/>
      <w:lvlText w:val="•"/>
      <w:lvlJc w:val="left"/>
      <w:pPr>
        <w:ind w:left="817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chF9NIoRYC+rEx6UxFBDXEfy8g==">CgMxLjA4AHIhMXVnVnR1UEdvXzlHV28ybGwwVTVuaGpybWpmTXd4dXl5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